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669" w:rsidRPr="00250669" w:rsidRDefault="00250669" w:rsidP="00250669">
      <w:pPr>
        <w:shd w:val="clear" w:color="auto" w:fill="FCFCFC"/>
        <w:spacing w:after="0" w:line="36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bCs/>
          <w:spacing w:val="8"/>
          <w:kern w:val="36"/>
          <w:sz w:val="32"/>
          <w:szCs w:val="32"/>
          <w:lang w:eastAsia="en-CA"/>
        </w:rPr>
      </w:pPr>
      <w:r w:rsidRPr="00250669">
        <w:rPr>
          <w:rFonts w:ascii="Times New Roman" w:eastAsia="Times New Roman" w:hAnsi="Times New Roman" w:cs="Times New Roman"/>
          <w:b/>
          <w:bCs/>
          <w:spacing w:val="8"/>
          <w:kern w:val="36"/>
          <w:sz w:val="32"/>
          <w:szCs w:val="32"/>
          <w:lang w:eastAsia="en-CA"/>
        </w:rPr>
        <w:t>PROJECT TOPICS</w:t>
      </w:r>
    </w:p>
    <w:p w:rsidR="00250669" w:rsidRDefault="00250669" w:rsidP="00250669">
      <w:pPr>
        <w:shd w:val="clear" w:color="auto" w:fill="FCFCFC"/>
        <w:spacing w:after="0" w:line="360" w:lineRule="auto"/>
        <w:outlineLvl w:val="0"/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</w:pPr>
    </w:p>
    <w:p w:rsidR="00045A42" w:rsidRPr="00250669" w:rsidRDefault="00045A42" w:rsidP="00250669">
      <w:pPr>
        <w:pStyle w:val="ListParagraph"/>
        <w:numPr>
          <w:ilvl w:val="0"/>
          <w:numId w:val="2"/>
        </w:numPr>
        <w:shd w:val="clear" w:color="auto" w:fill="FCFCFC"/>
        <w:spacing w:after="0" w:line="360" w:lineRule="auto"/>
        <w:ind w:left="426" w:hanging="437"/>
        <w:outlineLvl w:val="0"/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</w:pPr>
      <w:r w:rsidRPr="00250669"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  <w:t xml:space="preserve">The Pandemic Pain </w:t>
      </w:r>
      <w:r w:rsidR="00392083" w:rsidRPr="00250669"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  <w:t xml:space="preserve">is </w:t>
      </w:r>
      <w:r w:rsidRPr="00250669"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  <w:t xml:space="preserve">More Serious </w:t>
      </w:r>
      <w:r w:rsidR="00392083" w:rsidRPr="00250669"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  <w:t xml:space="preserve">in </w:t>
      </w:r>
      <w:r w:rsidRPr="00250669"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  <w:t xml:space="preserve">Emerging Markets </w:t>
      </w:r>
      <w:r w:rsidR="00392083" w:rsidRPr="00250669"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  <w:t xml:space="preserve">and </w:t>
      </w:r>
      <w:r w:rsidRPr="00250669"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  <w:t>Developing Countries</w:t>
      </w:r>
      <w:r w:rsidR="00392083" w:rsidRPr="00250669"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  <w:t xml:space="preserve">: </w:t>
      </w:r>
      <w:r w:rsidRPr="00250669"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  <w:t xml:space="preserve">Causes </w:t>
      </w:r>
      <w:r w:rsidR="00392083" w:rsidRPr="00250669"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  <w:t xml:space="preserve">and </w:t>
      </w:r>
      <w:r w:rsidRPr="00250669"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  <w:t>Remedies</w:t>
      </w:r>
    </w:p>
    <w:p w:rsidR="00392083" w:rsidRPr="00392083" w:rsidRDefault="00392083" w:rsidP="00392083">
      <w:pPr>
        <w:pStyle w:val="ListParagraph"/>
        <w:shd w:val="clear" w:color="auto" w:fill="FCFCFC"/>
        <w:spacing w:after="0" w:line="360" w:lineRule="auto"/>
        <w:ind w:left="425"/>
        <w:outlineLvl w:val="0"/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</w:pPr>
    </w:p>
    <w:p w:rsidR="0049193A" w:rsidRDefault="00392083" w:rsidP="00392083">
      <w:pPr>
        <w:pStyle w:val="ListParagraph"/>
        <w:numPr>
          <w:ilvl w:val="0"/>
          <w:numId w:val="2"/>
        </w:numPr>
        <w:shd w:val="clear" w:color="auto" w:fill="FCFCFC"/>
        <w:spacing w:after="0" w:line="360" w:lineRule="auto"/>
        <w:ind w:left="425" w:hanging="426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CA"/>
        </w:rPr>
      </w:pPr>
      <w:r w:rsidRPr="00392083">
        <w:rPr>
          <w:rFonts w:ascii="Times New Roman" w:eastAsia="Times New Roman" w:hAnsi="Times New Roman" w:cs="Times New Roman"/>
          <w:spacing w:val="8"/>
          <w:kern w:val="36"/>
          <w:sz w:val="24"/>
          <w:szCs w:val="24"/>
          <w:lang w:eastAsia="en-CA"/>
        </w:rPr>
        <w:t xml:space="preserve"> </w:t>
      </w:r>
      <w:r w:rsidR="0049193A" w:rsidRPr="00392083">
        <w:rPr>
          <w:rFonts w:ascii="Times New Roman" w:eastAsia="Times New Roman" w:hAnsi="Times New Roman" w:cs="Times New Roman"/>
          <w:kern w:val="36"/>
          <w:sz w:val="24"/>
          <w:szCs w:val="24"/>
          <w:lang w:eastAsia="en-CA"/>
        </w:rPr>
        <w:t>COVID</w:t>
      </w:r>
      <w:r w:rsidRPr="00392083">
        <w:rPr>
          <w:rFonts w:ascii="Times New Roman" w:eastAsia="Times New Roman" w:hAnsi="Times New Roman" w:cs="Times New Roman"/>
          <w:kern w:val="36"/>
          <w:sz w:val="24"/>
          <w:szCs w:val="24"/>
          <w:lang w:eastAsia="en-CA"/>
        </w:rPr>
        <w:t xml:space="preserve">-19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CA"/>
        </w:rPr>
        <w:t>a</w:t>
      </w:r>
      <w:r w:rsidRPr="00392083">
        <w:rPr>
          <w:rFonts w:ascii="Times New Roman" w:eastAsia="Times New Roman" w:hAnsi="Times New Roman" w:cs="Times New Roman"/>
          <w:kern w:val="36"/>
          <w:sz w:val="24"/>
          <w:szCs w:val="24"/>
          <w:lang w:eastAsia="en-CA"/>
        </w:rPr>
        <w:t xml:space="preserve">nd </w:t>
      </w:r>
      <w:r w:rsidR="0049193A" w:rsidRPr="00392083">
        <w:rPr>
          <w:rFonts w:ascii="Times New Roman" w:eastAsia="Times New Roman" w:hAnsi="Times New Roman" w:cs="Times New Roman"/>
          <w:kern w:val="36"/>
          <w:sz w:val="24"/>
          <w:szCs w:val="24"/>
          <w:lang w:eastAsia="en-CA"/>
        </w:rPr>
        <w:t>Trade Policy</w:t>
      </w:r>
      <w:r w:rsidRPr="00392083">
        <w:rPr>
          <w:rFonts w:ascii="Times New Roman" w:eastAsia="Times New Roman" w:hAnsi="Times New Roman" w:cs="Times New Roman"/>
          <w:kern w:val="36"/>
          <w:sz w:val="24"/>
          <w:szCs w:val="24"/>
          <w:lang w:eastAsia="en-CA"/>
        </w:rPr>
        <w:t xml:space="preserve">: </w:t>
      </w:r>
      <w:r w:rsidR="0049193A" w:rsidRPr="00392083">
        <w:rPr>
          <w:rFonts w:ascii="Times New Roman" w:eastAsia="Times New Roman" w:hAnsi="Times New Roman" w:cs="Times New Roman"/>
          <w:kern w:val="36"/>
          <w:sz w:val="24"/>
          <w:szCs w:val="24"/>
          <w:lang w:eastAsia="en-CA"/>
        </w:rPr>
        <w:t>Why Turning Inward Won’t Work</w:t>
      </w:r>
    </w:p>
    <w:p w:rsidR="00392083" w:rsidRPr="00392083" w:rsidRDefault="00392083" w:rsidP="00392083">
      <w:pPr>
        <w:pStyle w:val="ListParagraph"/>
        <w:spacing w:after="0"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en-CA"/>
        </w:rPr>
      </w:pPr>
    </w:p>
    <w:p w:rsidR="00045A42" w:rsidRDefault="00045A42" w:rsidP="0039208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425" w:hanging="426"/>
        <w:textAlignment w:val="baseline"/>
        <w:outlineLvl w:val="1"/>
        <w:rPr>
          <w:kern w:val="36"/>
        </w:rPr>
      </w:pPr>
      <w:r w:rsidRPr="00392083">
        <w:rPr>
          <w:kern w:val="36"/>
        </w:rPr>
        <w:t xml:space="preserve">Trade </w:t>
      </w:r>
      <w:r w:rsidR="00392083" w:rsidRPr="00392083">
        <w:rPr>
          <w:kern w:val="36"/>
        </w:rPr>
        <w:t xml:space="preserve">Policy After Four Years </w:t>
      </w:r>
      <w:r w:rsidR="00392083">
        <w:rPr>
          <w:kern w:val="36"/>
        </w:rPr>
        <w:t>o</w:t>
      </w:r>
      <w:r w:rsidR="00392083" w:rsidRPr="00392083">
        <w:rPr>
          <w:kern w:val="36"/>
        </w:rPr>
        <w:t xml:space="preserve">f Populism: </w:t>
      </w:r>
      <w:r w:rsidRPr="00392083">
        <w:rPr>
          <w:kern w:val="36"/>
        </w:rPr>
        <w:t xml:space="preserve">The Return </w:t>
      </w:r>
      <w:r w:rsidR="00392083">
        <w:rPr>
          <w:kern w:val="36"/>
        </w:rPr>
        <w:t>t</w:t>
      </w:r>
      <w:r w:rsidR="00392083" w:rsidRPr="00392083">
        <w:rPr>
          <w:kern w:val="36"/>
        </w:rPr>
        <w:t xml:space="preserve">o </w:t>
      </w:r>
      <w:r w:rsidRPr="00392083">
        <w:rPr>
          <w:kern w:val="36"/>
        </w:rPr>
        <w:t>Protectionism</w:t>
      </w:r>
    </w:p>
    <w:p w:rsidR="00392083" w:rsidRPr="00392083" w:rsidRDefault="00392083" w:rsidP="00392083">
      <w:pPr>
        <w:pStyle w:val="NormalWeb"/>
        <w:spacing w:before="0" w:beforeAutospacing="0" w:after="0" w:afterAutospacing="0" w:line="360" w:lineRule="auto"/>
        <w:textAlignment w:val="baseline"/>
        <w:outlineLvl w:val="1"/>
        <w:rPr>
          <w:kern w:val="36"/>
        </w:rPr>
      </w:pPr>
    </w:p>
    <w:p w:rsidR="00045A42" w:rsidRPr="00392083" w:rsidRDefault="00045A42" w:rsidP="0039208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425" w:hanging="426"/>
        <w:textAlignment w:val="baseline"/>
        <w:outlineLvl w:val="1"/>
        <w:rPr>
          <w:kern w:val="36"/>
        </w:rPr>
      </w:pPr>
      <w:r w:rsidRPr="00392083">
        <w:rPr>
          <w:shd w:val="clear" w:color="auto" w:fill="F2F2F2"/>
        </w:rPr>
        <w:t>Brexit</w:t>
      </w:r>
      <w:r w:rsidR="00392083" w:rsidRPr="00392083">
        <w:rPr>
          <w:shd w:val="clear" w:color="auto" w:fill="F2F2F2"/>
        </w:rPr>
        <w:t xml:space="preserve">: </w:t>
      </w:r>
      <w:r w:rsidRPr="00392083">
        <w:rPr>
          <w:shd w:val="clear" w:color="auto" w:fill="F2F2F2"/>
        </w:rPr>
        <w:t xml:space="preserve">Impacts </w:t>
      </w:r>
      <w:r w:rsidR="00392083">
        <w:rPr>
          <w:shd w:val="clear" w:color="auto" w:fill="F2F2F2"/>
        </w:rPr>
        <w:t>a</w:t>
      </w:r>
      <w:r w:rsidR="00392083" w:rsidRPr="00392083">
        <w:rPr>
          <w:shd w:val="clear" w:color="auto" w:fill="F2F2F2"/>
        </w:rPr>
        <w:t xml:space="preserve">nd </w:t>
      </w:r>
      <w:r w:rsidR="00AD2C9A" w:rsidRPr="00392083">
        <w:rPr>
          <w:shd w:val="clear" w:color="auto" w:fill="F2F2F2"/>
        </w:rPr>
        <w:t xml:space="preserve">Opportunities </w:t>
      </w:r>
      <w:r w:rsidR="00250669">
        <w:rPr>
          <w:shd w:val="clear" w:color="auto" w:fill="F2F2F2"/>
        </w:rPr>
        <w:t>for</w:t>
      </w:r>
      <w:r w:rsidR="00392083" w:rsidRPr="00392083">
        <w:rPr>
          <w:shd w:val="clear" w:color="auto" w:fill="F2F2F2"/>
        </w:rPr>
        <w:t xml:space="preserve"> The </w:t>
      </w:r>
      <w:r w:rsidRPr="00392083">
        <w:rPr>
          <w:shd w:val="clear" w:color="auto" w:fill="F2F2F2"/>
        </w:rPr>
        <w:t xml:space="preserve">UK </w:t>
      </w:r>
      <w:r w:rsidR="00392083">
        <w:rPr>
          <w:shd w:val="clear" w:color="auto" w:fill="F2F2F2"/>
        </w:rPr>
        <w:t>a</w:t>
      </w:r>
      <w:r w:rsidR="00392083" w:rsidRPr="00392083">
        <w:rPr>
          <w:shd w:val="clear" w:color="auto" w:fill="F2F2F2"/>
        </w:rPr>
        <w:t xml:space="preserve">nd </w:t>
      </w:r>
      <w:r w:rsidRPr="00392083">
        <w:rPr>
          <w:shd w:val="clear" w:color="auto" w:fill="F2F2F2"/>
        </w:rPr>
        <w:t>EU</w:t>
      </w:r>
    </w:p>
    <w:p w:rsidR="00392083" w:rsidRPr="00392083" w:rsidRDefault="00392083" w:rsidP="00392083">
      <w:pPr>
        <w:pStyle w:val="NormalWeb"/>
        <w:spacing w:before="0" w:beforeAutospacing="0" w:after="0" w:afterAutospacing="0" w:line="360" w:lineRule="auto"/>
        <w:textAlignment w:val="baseline"/>
        <w:outlineLvl w:val="1"/>
        <w:rPr>
          <w:kern w:val="36"/>
        </w:rPr>
      </w:pPr>
    </w:p>
    <w:p w:rsidR="00B075AF" w:rsidRDefault="0049557C" w:rsidP="0039208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425" w:hanging="426"/>
        <w:textAlignment w:val="baseline"/>
        <w:outlineLvl w:val="1"/>
        <w:rPr>
          <w:kern w:val="36"/>
        </w:rPr>
      </w:pPr>
      <w:r w:rsidRPr="00392083">
        <w:rPr>
          <w:kern w:val="36"/>
        </w:rPr>
        <w:t xml:space="preserve">Fixed </w:t>
      </w:r>
      <w:r w:rsidR="00392083" w:rsidRPr="00392083">
        <w:rPr>
          <w:kern w:val="36"/>
        </w:rPr>
        <w:t xml:space="preserve">Versus </w:t>
      </w:r>
      <w:r w:rsidR="00392083">
        <w:rPr>
          <w:kern w:val="36"/>
        </w:rPr>
        <w:t>Fl</w:t>
      </w:r>
      <w:r w:rsidRPr="00392083">
        <w:rPr>
          <w:kern w:val="36"/>
        </w:rPr>
        <w:t xml:space="preserve">exible </w:t>
      </w:r>
      <w:r w:rsidR="00392083" w:rsidRPr="00392083">
        <w:rPr>
          <w:kern w:val="36"/>
        </w:rPr>
        <w:t xml:space="preserve">Exchange Rates: Contrasting </w:t>
      </w:r>
      <w:r w:rsidR="00392083">
        <w:rPr>
          <w:kern w:val="36"/>
        </w:rPr>
        <w:t>t</w:t>
      </w:r>
      <w:r w:rsidR="00392083" w:rsidRPr="00392083">
        <w:rPr>
          <w:kern w:val="36"/>
        </w:rPr>
        <w:t xml:space="preserve">he Revived (Current) Debate </w:t>
      </w:r>
      <w:r w:rsidR="00250669">
        <w:rPr>
          <w:kern w:val="36"/>
        </w:rPr>
        <w:t>w</w:t>
      </w:r>
      <w:bookmarkStart w:id="0" w:name="_GoBack"/>
      <w:bookmarkEnd w:id="0"/>
      <w:r w:rsidR="00392083" w:rsidRPr="00392083">
        <w:rPr>
          <w:kern w:val="36"/>
        </w:rPr>
        <w:t>ith The Same 50 Years Ago</w:t>
      </w:r>
    </w:p>
    <w:p w:rsidR="00392083" w:rsidRDefault="00392083" w:rsidP="00392083">
      <w:pPr>
        <w:pStyle w:val="NormalWeb"/>
        <w:spacing w:before="0" w:beforeAutospacing="0" w:after="0" w:afterAutospacing="0" w:line="360" w:lineRule="auto"/>
        <w:textAlignment w:val="baseline"/>
        <w:outlineLvl w:val="1"/>
        <w:rPr>
          <w:kern w:val="36"/>
        </w:rPr>
      </w:pPr>
    </w:p>
    <w:p w:rsidR="00045A42" w:rsidRDefault="00392083" w:rsidP="00392083">
      <w:pPr>
        <w:pStyle w:val="Heading1"/>
        <w:numPr>
          <w:ilvl w:val="0"/>
          <w:numId w:val="2"/>
        </w:numPr>
        <w:shd w:val="clear" w:color="auto" w:fill="FFFFFF"/>
        <w:spacing w:before="0" w:line="360" w:lineRule="auto"/>
        <w:ind w:left="425" w:hanging="426"/>
        <w:rPr>
          <w:rFonts w:ascii="Times New Roman" w:eastAsia="Times New Roman" w:hAnsi="Times New Roman" w:cs="Times New Roman"/>
          <w:color w:val="auto"/>
          <w:spacing w:val="-2"/>
          <w:kern w:val="36"/>
          <w:sz w:val="24"/>
          <w:szCs w:val="24"/>
          <w:lang w:eastAsia="en-CA"/>
        </w:rPr>
      </w:pPr>
      <w:r w:rsidRPr="00392083">
        <w:rPr>
          <w:rFonts w:ascii="Times New Roman" w:eastAsia="Times New Roman" w:hAnsi="Times New Roman" w:cs="Times New Roman"/>
          <w:color w:val="auto"/>
          <w:spacing w:val="-2"/>
          <w:kern w:val="36"/>
          <w:sz w:val="24"/>
          <w:szCs w:val="24"/>
          <w:lang w:eastAsia="en-CA"/>
        </w:rPr>
        <w:t xml:space="preserve">Government Responses </w:t>
      </w:r>
      <w:r>
        <w:rPr>
          <w:rFonts w:ascii="Times New Roman" w:eastAsia="Times New Roman" w:hAnsi="Times New Roman" w:cs="Times New Roman"/>
          <w:color w:val="auto"/>
          <w:spacing w:val="-2"/>
          <w:kern w:val="36"/>
          <w:sz w:val="24"/>
          <w:szCs w:val="24"/>
          <w:lang w:eastAsia="en-CA"/>
        </w:rPr>
        <w:t>t</w:t>
      </w:r>
      <w:r w:rsidRPr="00392083">
        <w:rPr>
          <w:rFonts w:ascii="Times New Roman" w:eastAsia="Times New Roman" w:hAnsi="Times New Roman" w:cs="Times New Roman"/>
          <w:color w:val="auto"/>
          <w:spacing w:val="-2"/>
          <w:kern w:val="36"/>
          <w:sz w:val="24"/>
          <w:szCs w:val="24"/>
          <w:lang w:eastAsia="en-CA"/>
        </w:rPr>
        <w:t>o Covid 19- A Cross Country Comparison: Canada, The US, Europe And Asia.</w:t>
      </w:r>
    </w:p>
    <w:p w:rsidR="00392083" w:rsidRPr="00392083" w:rsidRDefault="00392083" w:rsidP="00392083">
      <w:pPr>
        <w:rPr>
          <w:lang w:eastAsia="en-CA"/>
        </w:rPr>
      </w:pPr>
    </w:p>
    <w:p w:rsidR="00392083" w:rsidRPr="00392083" w:rsidRDefault="00392083" w:rsidP="00250669">
      <w:pPr>
        <w:pStyle w:val="Heading2"/>
        <w:keepNext w:val="0"/>
        <w:keepLines w:val="0"/>
        <w:spacing w:before="0" w:line="36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en-CA"/>
        </w:rPr>
      </w:pPr>
      <w:r w:rsidRPr="00392083">
        <w:rPr>
          <w:rFonts w:ascii="Times New Roman" w:hAnsi="Times New Roman" w:cs="Times New Roman"/>
          <w:color w:val="auto"/>
          <w:sz w:val="24"/>
          <w:szCs w:val="24"/>
          <w:lang w:eastAsia="en-CA"/>
        </w:rPr>
        <w:t xml:space="preserve">(7) </w:t>
      </w:r>
      <w:hyperlink r:id="rId5" w:history="1">
        <w:r w:rsidRPr="00392083">
          <w:rPr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en-CA"/>
          </w:rPr>
          <w:t>The policy mix</w:t>
        </w:r>
        <w:r w:rsidRPr="00392083">
          <w:rPr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en-CA"/>
          </w:rPr>
          <w:t xml:space="preserve">: </w:t>
        </w:r>
      </w:hyperlink>
      <w:hyperlink r:id="rId6" w:history="1">
        <w:r w:rsidRPr="00392083">
          <w:rPr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en-CA"/>
          </w:rPr>
          <w:t>How Monetary and Fiscal Policies Can Work Together</w:t>
        </w:r>
      </w:hyperlink>
      <w:r w:rsidR="00250669">
        <w:rPr>
          <w:rFonts w:ascii="Times New Roman" w:eastAsia="Times New Roman" w:hAnsi="Times New Roman" w:cs="Times New Roman"/>
          <w:color w:val="auto"/>
          <w:sz w:val="24"/>
          <w:szCs w:val="24"/>
          <w:lang w:eastAsia="en-CA"/>
        </w:rPr>
        <w:t xml:space="preserve"> in the Covid Environment.</w:t>
      </w:r>
    </w:p>
    <w:p w:rsidR="00392083" w:rsidRPr="00392083" w:rsidRDefault="00392083" w:rsidP="00392083">
      <w:pPr>
        <w:rPr>
          <w:lang w:eastAsia="en-CA"/>
        </w:rPr>
      </w:pPr>
    </w:p>
    <w:sectPr w:rsidR="00392083" w:rsidRPr="003920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D3F"/>
    <w:multiLevelType w:val="hybridMultilevel"/>
    <w:tmpl w:val="E978529A"/>
    <w:lvl w:ilvl="0" w:tplc="6F1CF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A3FEC"/>
    <w:multiLevelType w:val="hybridMultilevel"/>
    <w:tmpl w:val="E5C8A4CC"/>
    <w:lvl w:ilvl="0" w:tplc="A68A8F02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BA712B"/>
    <w:multiLevelType w:val="multilevel"/>
    <w:tmpl w:val="B82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69"/>
    <w:rsid w:val="00045A42"/>
    <w:rsid w:val="00250669"/>
    <w:rsid w:val="00392083"/>
    <w:rsid w:val="0049193A"/>
    <w:rsid w:val="0049557C"/>
    <w:rsid w:val="00791D91"/>
    <w:rsid w:val="00AD2C9A"/>
    <w:rsid w:val="00B075AF"/>
    <w:rsid w:val="00B552A0"/>
    <w:rsid w:val="00D16569"/>
    <w:rsid w:val="00E4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2FFD"/>
  <w15:chartTrackingRefBased/>
  <w15:docId w15:val="{ABD8E377-D499-47E6-B7F8-3AA499B3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07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19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20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xeu.org/content/it-s-all-mix-how-monetary-and-fiscal-policies-can-work-or-fail-together" TargetMode="External"/><Relationship Id="rId5" Type="http://schemas.openxmlformats.org/officeDocument/2006/relationships/hyperlink" Target="https://voxeu.org/article/stronger-together-policy-mix-strikes-ba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The Pandemic Pain is More Serious in Emerging Markets and Developing Countries: </vt:lpstr>
      <vt:lpstr/>
      <vt:lpstr>COVID-19 and Trade Policy: Why Turning Inward Won’t Work</vt:lpstr>
      <vt:lpstr>    Trade Policy After Four Years of Populism: The Return to Protectionism</vt:lpstr>
      <vt:lpstr>    </vt:lpstr>
      <vt:lpstr>    Brexit: Impacts and Opportunities For The UK and EU</vt:lpstr>
      <vt:lpstr>    </vt:lpstr>
      <vt:lpstr>    Fixed Versus Flexible Exchange Rates: Contrasting the Revived (Current) Debate W</vt:lpstr>
      <vt:lpstr>    </vt:lpstr>
      <vt:lpstr>Government Responses to Covid 19- A Cross Country Comparison: Canada, The US, Eu</vt:lpstr>
      <vt:lpstr>    (7) The policy mix: How Monetary and Fiscal Policies Can Work Together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Farrokh Zandi</dc:creator>
  <cp:keywords/>
  <dc:description/>
  <cp:lastModifiedBy>Farrokh Zandi</cp:lastModifiedBy>
  <cp:revision>1</cp:revision>
  <dcterms:created xsi:type="dcterms:W3CDTF">2021-01-18T03:32:00Z</dcterms:created>
  <dcterms:modified xsi:type="dcterms:W3CDTF">2021-01-18T22:25:00Z</dcterms:modified>
</cp:coreProperties>
</file>